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B7F9" w14:textId="77777777" w:rsidR="00174C19" w:rsidRPr="00F82245" w:rsidRDefault="00174C19">
      <w:pPr>
        <w:rPr>
          <w:rFonts w:ascii="Arial" w:hAnsi="Arial" w:cs="Arial"/>
          <w:sz w:val="19"/>
          <w:szCs w:val="19"/>
        </w:rPr>
      </w:pPr>
    </w:p>
    <w:p w14:paraId="64779615" w14:textId="77777777" w:rsidR="00F82245" w:rsidRPr="00F82245" w:rsidRDefault="00174C19" w:rsidP="00F82245">
      <w:pPr>
        <w:pStyle w:val="NoSpacing"/>
        <w:jc w:val="center"/>
        <w:rPr>
          <w:rFonts w:ascii="Arial Narrow" w:hAnsi="Arial Narrow"/>
          <w:b/>
        </w:rPr>
      </w:pPr>
      <w:r w:rsidRPr="00F82245">
        <w:rPr>
          <w:rFonts w:ascii="Arial Narrow" w:hAnsi="Arial Narrow"/>
          <w:b/>
        </w:rPr>
        <w:t>Gold Mountain CSD</w:t>
      </w:r>
    </w:p>
    <w:p w14:paraId="5AC5A088" w14:textId="3D976A7E" w:rsidR="00F82245" w:rsidRPr="00F82245" w:rsidRDefault="00FF7DDD" w:rsidP="00F82245">
      <w:pPr>
        <w:pStyle w:val="NoSpacing"/>
        <w:jc w:val="center"/>
        <w:rPr>
          <w:rFonts w:ascii="Arial Narrow" w:hAnsi="Arial Narrow"/>
          <w:b/>
        </w:rPr>
      </w:pPr>
      <w:r>
        <w:rPr>
          <w:rFonts w:ascii="Arial Narrow" w:hAnsi="Arial Narrow"/>
          <w:b/>
        </w:rPr>
        <w:t>Flat Water/Sewer Rates 20</w:t>
      </w:r>
      <w:r w:rsidR="00161245">
        <w:rPr>
          <w:rFonts w:ascii="Arial Narrow" w:hAnsi="Arial Narrow"/>
          <w:b/>
        </w:rPr>
        <w:t>20</w:t>
      </w:r>
      <w:r>
        <w:rPr>
          <w:rFonts w:ascii="Arial Narrow" w:hAnsi="Arial Narrow"/>
          <w:b/>
        </w:rPr>
        <w:t>/</w:t>
      </w:r>
      <w:r w:rsidR="00161245">
        <w:rPr>
          <w:rFonts w:ascii="Arial Narrow" w:hAnsi="Arial Narrow"/>
          <w:b/>
        </w:rPr>
        <w:t>21</w:t>
      </w:r>
    </w:p>
    <w:p w14:paraId="6AAC79BD" w14:textId="77777777" w:rsidR="00174C19" w:rsidRPr="00F82245" w:rsidRDefault="00174C19" w:rsidP="00F82245">
      <w:pPr>
        <w:pStyle w:val="NoSpacing"/>
        <w:jc w:val="center"/>
        <w:rPr>
          <w:rFonts w:ascii="Arial Narrow" w:hAnsi="Arial Narrow"/>
        </w:rPr>
      </w:pPr>
      <w:r w:rsidRPr="00F82245">
        <w:rPr>
          <w:rFonts w:ascii="Arial Narrow" w:hAnsi="Arial Narrow"/>
        </w:rPr>
        <w:fldChar w:fldCharType="begin"/>
      </w:r>
      <w:r w:rsidRPr="00F82245">
        <w:rPr>
          <w:rFonts w:ascii="Arial Narrow" w:hAnsi="Arial Narrow"/>
        </w:rPr>
        <w:instrText xml:space="preserve"> LINK </w:instrText>
      </w:r>
      <w:r w:rsidR="00FF7DDD">
        <w:rPr>
          <w:rFonts w:ascii="Arial Narrow" w:hAnsi="Arial Narrow"/>
        </w:rPr>
        <w:instrText xml:space="preserve">Excel.Sheet.8 "C:\\Users\\GMCSD1\\Documents\\CSD Documents\\Audit\\2017-18\\Copy of Billing Rates by Quarter.xls" "Qrtly Rate Totals 2018-19!R19C1:R31C3" </w:instrText>
      </w:r>
      <w:r w:rsidRPr="00F82245">
        <w:rPr>
          <w:rFonts w:ascii="Arial Narrow" w:hAnsi="Arial Narrow"/>
        </w:rPr>
        <w:instrText xml:space="preserve">\a \f 4 \h  \* MERGEFORMAT </w:instrText>
      </w:r>
      <w:r w:rsidRPr="00F82245">
        <w:rPr>
          <w:rFonts w:ascii="Arial Narrow" w:hAnsi="Arial Narrow"/>
        </w:rPr>
        <w:fldChar w:fldCharType="separate"/>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2846"/>
        <w:gridCol w:w="1761"/>
      </w:tblGrid>
      <w:tr w:rsidR="00174C19" w:rsidRPr="00F82245" w14:paraId="08D78D64" w14:textId="77777777" w:rsidTr="006B3D65">
        <w:trPr>
          <w:trHeight w:val="582"/>
        </w:trPr>
        <w:tc>
          <w:tcPr>
            <w:tcW w:w="5365" w:type="dxa"/>
            <w:shd w:val="clear" w:color="auto" w:fill="auto"/>
            <w:noWrap/>
            <w:vAlign w:val="bottom"/>
            <w:hideMark/>
          </w:tcPr>
          <w:p w14:paraId="75C73CEC" w14:textId="77777777" w:rsidR="00174C19" w:rsidRPr="00F82245" w:rsidRDefault="00174C19" w:rsidP="00F82245">
            <w:pPr>
              <w:pStyle w:val="NoSpacing"/>
              <w:jc w:val="center"/>
              <w:rPr>
                <w:rFonts w:ascii="Arial Narrow" w:eastAsia="Times New Roman" w:hAnsi="Arial Narrow" w:cs="Arial"/>
                <w:b/>
                <w:bCs/>
              </w:rPr>
            </w:pPr>
            <w:r w:rsidRPr="00F82245">
              <w:rPr>
                <w:rFonts w:ascii="Arial Narrow" w:eastAsia="Times New Roman" w:hAnsi="Arial Narrow" w:cs="Arial"/>
                <w:b/>
                <w:bCs/>
              </w:rPr>
              <w:t> </w:t>
            </w:r>
          </w:p>
        </w:tc>
        <w:tc>
          <w:tcPr>
            <w:tcW w:w="2846" w:type="dxa"/>
            <w:shd w:val="clear" w:color="auto" w:fill="auto"/>
            <w:noWrap/>
            <w:vAlign w:val="bottom"/>
            <w:hideMark/>
          </w:tcPr>
          <w:p w14:paraId="77790DD6" w14:textId="77777777" w:rsidR="00174C19" w:rsidRPr="00F82245" w:rsidRDefault="00174C19" w:rsidP="00F82245">
            <w:pPr>
              <w:pStyle w:val="NoSpacing"/>
              <w:jc w:val="center"/>
              <w:rPr>
                <w:rFonts w:ascii="Arial Narrow" w:eastAsia="Times New Roman" w:hAnsi="Arial Narrow" w:cs="Arial"/>
                <w:b/>
                <w:bCs/>
              </w:rPr>
            </w:pPr>
            <w:r w:rsidRPr="00F82245">
              <w:rPr>
                <w:rFonts w:ascii="Arial Narrow" w:eastAsia="Times New Roman" w:hAnsi="Arial Narrow" w:cs="Arial"/>
                <w:b/>
                <w:bCs/>
              </w:rPr>
              <w:t>Annual</w:t>
            </w:r>
          </w:p>
        </w:tc>
        <w:tc>
          <w:tcPr>
            <w:tcW w:w="1761" w:type="dxa"/>
            <w:shd w:val="clear" w:color="auto" w:fill="auto"/>
            <w:noWrap/>
            <w:vAlign w:val="bottom"/>
            <w:hideMark/>
          </w:tcPr>
          <w:p w14:paraId="7A14BE5A" w14:textId="77777777" w:rsidR="00174C19" w:rsidRPr="00F82245" w:rsidRDefault="00174C19" w:rsidP="00F82245">
            <w:pPr>
              <w:pStyle w:val="NoSpacing"/>
              <w:jc w:val="center"/>
              <w:rPr>
                <w:rFonts w:ascii="Arial Narrow" w:eastAsia="Times New Roman" w:hAnsi="Arial Narrow" w:cs="Arial"/>
                <w:b/>
                <w:bCs/>
              </w:rPr>
            </w:pPr>
            <w:r w:rsidRPr="00F82245">
              <w:rPr>
                <w:rFonts w:ascii="Arial Narrow" w:eastAsia="Times New Roman" w:hAnsi="Arial Narrow" w:cs="Arial"/>
                <w:b/>
                <w:bCs/>
              </w:rPr>
              <w:t>Quarter</w:t>
            </w:r>
          </w:p>
        </w:tc>
      </w:tr>
      <w:tr w:rsidR="00174C19" w:rsidRPr="00F82245" w14:paraId="10F2CE56" w14:textId="77777777" w:rsidTr="006B3D65">
        <w:trPr>
          <w:trHeight w:val="291"/>
        </w:trPr>
        <w:tc>
          <w:tcPr>
            <w:tcW w:w="5365" w:type="dxa"/>
            <w:shd w:val="clear" w:color="auto" w:fill="auto"/>
            <w:noWrap/>
            <w:vAlign w:val="bottom"/>
            <w:hideMark/>
          </w:tcPr>
          <w:p w14:paraId="5057F132" w14:textId="77777777" w:rsidR="00174C19" w:rsidRPr="00F82245" w:rsidRDefault="00455DE7" w:rsidP="00F82245">
            <w:pPr>
              <w:pStyle w:val="NoSpacing"/>
              <w:jc w:val="center"/>
              <w:rPr>
                <w:rFonts w:ascii="Arial Narrow" w:eastAsia="Times New Roman" w:hAnsi="Arial Narrow" w:cs="Arial"/>
                <w:b/>
                <w:bCs/>
              </w:rPr>
            </w:pPr>
            <w:r w:rsidRPr="00F82245">
              <w:rPr>
                <w:rFonts w:ascii="Arial Narrow" w:eastAsia="Times New Roman" w:hAnsi="Arial Narrow" w:cs="Arial"/>
                <w:b/>
                <w:bCs/>
              </w:rPr>
              <w:t>Connected Customers</w:t>
            </w:r>
            <w:r w:rsidR="00376954">
              <w:rPr>
                <w:rFonts w:ascii="Arial Narrow" w:eastAsia="Times New Roman" w:hAnsi="Arial Narrow" w:cs="Arial"/>
                <w:b/>
                <w:bCs/>
              </w:rPr>
              <w:t xml:space="preserve"> </w:t>
            </w:r>
            <w:r w:rsidR="00376954">
              <w:rPr>
                <w:rFonts w:ascii="Arial" w:hAnsi="Arial" w:cs="Arial"/>
                <w:b/>
                <w:bCs/>
                <w:sz w:val="20"/>
                <w:szCs w:val="20"/>
              </w:rPr>
              <w:t>(W-47%/S-53%)</w:t>
            </w:r>
          </w:p>
        </w:tc>
        <w:tc>
          <w:tcPr>
            <w:tcW w:w="2846" w:type="dxa"/>
            <w:shd w:val="clear" w:color="auto" w:fill="auto"/>
            <w:noWrap/>
            <w:vAlign w:val="bottom"/>
            <w:hideMark/>
          </w:tcPr>
          <w:p w14:paraId="58CCEA06" w14:textId="77777777" w:rsidR="00174C19" w:rsidRPr="00F82245" w:rsidRDefault="00174C19" w:rsidP="00F82245">
            <w:pPr>
              <w:pStyle w:val="NoSpacing"/>
              <w:jc w:val="center"/>
              <w:rPr>
                <w:rFonts w:ascii="Arial Narrow" w:eastAsia="Times New Roman" w:hAnsi="Arial Narrow" w:cs="Arial"/>
              </w:rPr>
            </w:pPr>
            <w:r w:rsidRPr="00F82245">
              <w:rPr>
                <w:rFonts w:ascii="Arial Narrow" w:eastAsia="Times New Roman" w:hAnsi="Arial Narrow" w:cs="Arial"/>
              </w:rPr>
              <w:t xml:space="preserve">$1,888.00 </w:t>
            </w:r>
          </w:p>
        </w:tc>
        <w:tc>
          <w:tcPr>
            <w:tcW w:w="1761" w:type="dxa"/>
            <w:shd w:val="clear" w:color="auto" w:fill="auto"/>
            <w:noWrap/>
            <w:vAlign w:val="bottom"/>
            <w:hideMark/>
          </w:tcPr>
          <w:p w14:paraId="483AC05F" w14:textId="77777777" w:rsidR="00174C19" w:rsidRPr="00F82245" w:rsidRDefault="00174C19" w:rsidP="00F82245">
            <w:pPr>
              <w:pStyle w:val="NoSpacing"/>
              <w:jc w:val="center"/>
              <w:rPr>
                <w:rFonts w:ascii="Arial Narrow" w:eastAsia="Times New Roman" w:hAnsi="Arial Narrow" w:cs="Arial"/>
              </w:rPr>
            </w:pPr>
            <w:r w:rsidRPr="00F82245">
              <w:rPr>
                <w:rFonts w:ascii="Arial Narrow" w:eastAsia="Times New Roman" w:hAnsi="Arial Narrow" w:cs="Arial"/>
              </w:rPr>
              <w:t xml:space="preserve">$472.00 </w:t>
            </w:r>
          </w:p>
        </w:tc>
      </w:tr>
      <w:tr w:rsidR="00174C19" w:rsidRPr="00F82245" w14:paraId="4DD97FB1" w14:textId="77777777" w:rsidTr="006B3D65">
        <w:trPr>
          <w:trHeight w:val="291"/>
        </w:trPr>
        <w:tc>
          <w:tcPr>
            <w:tcW w:w="5365" w:type="dxa"/>
            <w:shd w:val="clear" w:color="auto" w:fill="auto"/>
            <w:noWrap/>
            <w:vAlign w:val="bottom"/>
            <w:hideMark/>
          </w:tcPr>
          <w:p w14:paraId="4DE27A34" w14:textId="77777777" w:rsidR="00174C19" w:rsidRPr="00F82245" w:rsidRDefault="00455DE7" w:rsidP="00F82245">
            <w:pPr>
              <w:pStyle w:val="NoSpacing"/>
              <w:jc w:val="center"/>
              <w:rPr>
                <w:rFonts w:ascii="Arial Narrow" w:eastAsia="Times New Roman" w:hAnsi="Arial Narrow" w:cs="Arial"/>
                <w:b/>
                <w:bCs/>
              </w:rPr>
            </w:pPr>
            <w:r w:rsidRPr="00F82245">
              <w:rPr>
                <w:rFonts w:ascii="Arial Narrow" w:eastAsia="Times New Roman" w:hAnsi="Arial Narrow" w:cs="Arial"/>
                <w:b/>
                <w:bCs/>
              </w:rPr>
              <w:t>Standby Customers:</w:t>
            </w:r>
            <w:r w:rsidR="00376954">
              <w:rPr>
                <w:rFonts w:ascii="Arial Narrow" w:eastAsia="Times New Roman" w:hAnsi="Arial Narrow" w:cs="Arial"/>
                <w:b/>
                <w:bCs/>
              </w:rPr>
              <w:t xml:space="preserve"> </w:t>
            </w:r>
            <w:r w:rsidR="00376954">
              <w:rPr>
                <w:rFonts w:ascii="Arial" w:hAnsi="Arial" w:cs="Arial"/>
                <w:b/>
                <w:bCs/>
                <w:sz w:val="20"/>
                <w:szCs w:val="20"/>
              </w:rPr>
              <w:t>W-66%/S-33%</w:t>
            </w:r>
          </w:p>
        </w:tc>
        <w:tc>
          <w:tcPr>
            <w:tcW w:w="2846" w:type="dxa"/>
            <w:shd w:val="clear" w:color="auto" w:fill="auto"/>
            <w:noWrap/>
            <w:vAlign w:val="bottom"/>
            <w:hideMark/>
          </w:tcPr>
          <w:p w14:paraId="0477093E" w14:textId="77777777" w:rsidR="00174C19" w:rsidRPr="00F82245" w:rsidRDefault="00174C19" w:rsidP="00F82245">
            <w:pPr>
              <w:pStyle w:val="NoSpacing"/>
              <w:jc w:val="center"/>
              <w:rPr>
                <w:rFonts w:ascii="Arial Narrow" w:eastAsia="Times New Roman" w:hAnsi="Arial Narrow" w:cs="Arial"/>
              </w:rPr>
            </w:pPr>
            <w:r w:rsidRPr="00F82245">
              <w:rPr>
                <w:rFonts w:ascii="Arial Narrow" w:eastAsia="Times New Roman" w:hAnsi="Arial Narrow" w:cs="Arial"/>
              </w:rPr>
              <w:t xml:space="preserve">$708.00 </w:t>
            </w:r>
          </w:p>
        </w:tc>
        <w:tc>
          <w:tcPr>
            <w:tcW w:w="1761" w:type="dxa"/>
            <w:shd w:val="clear" w:color="auto" w:fill="auto"/>
            <w:noWrap/>
            <w:vAlign w:val="bottom"/>
            <w:hideMark/>
          </w:tcPr>
          <w:p w14:paraId="65AA35A9" w14:textId="77777777" w:rsidR="00174C19" w:rsidRPr="00F82245" w:rsidRDefault="00174C19" w:rsidP="00F82245">
            <w:pPr>
              <w:pStyle w:val="NoSpacing"/>
              <w:jc w:val="center"/>
              <w:rPr>
                <w:rFonts w:ascii="Arial Narrow" w:eastAsia="Times New Roman" w:hAnsi="Arial Narrow" w:cs="Arial"/>
              </w:rPr>
            </w:pPr>
            <w:r w:rsidRPr="00F82245">
              <w:rPr>
                <w:rFonts w:ascii="Arial Narrow" w:eastAsia="Times New Roman" w:hAnsi="Arial Narrow" w:cs="Arial"/>
              </w:rPr>
              <w:t xml:space="preserve">$177.00 </w:t>
            </w:r>
          </w:p>
        </w:tc>
      </w:tr>
    </w:tbl>
    <w:p w14:paraId="2C048756" w14:textId="77777777" w:rsidR="00F82245" w:rsidRPr="00F82245" w:rsidRDefault="00174C19" w:rsidP="00F82245">
      <w:pPr>
        <w:pStyle w:val="CSDAPolicy1"/>
        <w:jc w:val="center"/>
        <w:rPr>
          <w:sz w:val="22"/>
          <w:szCs w:val="22"/>
        </w:rPr>
      </w:pPr>
      <w:r w:rsidRPr="00F82245">
        <w:rPr>
          <w:rFonts w:cs="Arial"/>
          <w:sz w:val="22"/>
          <w:szCs w:val="22"/>
        </w:rPr>
        <w:fldChar w:fldCharType="end"/>
      </w:r>
    </w:p>
    <w:p w14:paraId="44C8C682" w14:textId="77777777" w:rsidR="00F82245" w:rsidRPr="00F82245" w:rsidRDefault="00F82245" w:rsidP="00F82245">
      <w:pPr>
        <w:pStyle w:val="CSDAPolicy1"/>
        <w:jc w:val="center"/>
        <w:rPr>
          <w:sz w:val="22"/>
          <w:szCs w:val="22"/>
        </w:rPr>
      </w:pPr>
    </w:p>
    <w:p w14:paraId="65744204" w14:textId="77777777" w:rsidR="00F82245" w:rsidRPr="00F82245" w:rsidRDefault="00F82245" w:rsidP="00F82245">
      <w:pPr>
        <w:pStyle w:val="CSDAPolicy1"/>
        <w:jc w:val="center"/>
        <w:rPr>
          <w:b/>
          <w:bCs/>
          <w:sz w:val="22"/>
          <w:szCs w:val="22"/>
        </w:rPr>
      </w:pPr>
      <w:r w:rsidRPr="00F82245">
        <w:rPr>
          <w:b/>
          <w:bCs/>
          <w:sz w:val="22"/>
          <w:szCs w:val="22"/>
        </w:rPr>
        <w:t xml:space="preserve"> Gold Mountain CSD Water &amp; Sewer Fee Collection Policy</w:t>
      </w:r>
    </w:p>
    <w:p w14:paraId="381576A9" w14:textId="77777777" w:rsidR="00F82245" w:rsidRPr="00F82245" w:rsidRDefault="00F82245" w:rsidP="00F82245">
      <w:pPr>
        <w:pStyle w:val="CSDAPolicy1"/>
        <w:jc w:val="both"/>
        <w:rPr>
          <w:b/>
          <w:bCs/>
          <w:sz w:val="22"/>
          <w:szCs w:val="22"/>
        </w:rPr>
      </w:pPr>
    </w:p>
    <w:p w14:paraId="2A75F7C1" w14:textId="77777777" w:rsidR="00F82245" w:rsidRPr="00F82245" w:rsidRDefault="00F82245" w:rsidP="00F82245">
      <w:pPr>
        <w:pStyle w:val="CSDAPolicy1"/>
        <w:jc w:val="both"/>
        <w:rPr>
          <w:rFonts w:cs="Arial"/>
          <w:b/>
          <w:bCs/>
          <w:sz w:val="22"/>
          <w:szCs w:val="22"/>
        </w:rPr>
      </w:pPr>
      <w:r w:rsidRPr="00F82245">
        <w:rPr>
          <w:rFonts w:cs="Arial"/>
          <w:bCs/>
          <w:sz w:val="22"/>
          <w:szCs w:val="22"/>
        </w:rPr>
        <w:t>Currently applicable Gold Mountain Community Services District (District) water and sewer service fees are due and payable quarterly on or before their due date.  The due date is the first day of each calendar quarter (January 1, April 1, July 1, and October 1).  Property owners are encouraged to pay for more than one quarter in advance.  District quarterly statements detail both current and past due fees as well as any late fees and interest charges as listed below.</w:t>
      </w:r>
    </w:p>
    <w:p w14:paraId="0AAE7019" w14:textId="77777777" w:rsidR="00F82245" w:rsidRPr="00F82245" w:rsidRDefault="00F82245" w:rsidP="00F82245">
      <w:pPr>
        <w:pStyle w:val="CSDAPolicy1"/>
        <w:jc w:val="both"/>
        <w:rPr>
          <w:rFonts w:cs="Arial"/>
          <w:b/>
          <w:bCs/>
          <w:sz w:val="22"/>
          <w:szCs w:val="22"/>
        </w:rPr>
      </w:pPr>
    </w:p>
    <w:p w14:paraId="610F1F69" w14:textId="77777777" w:rsidR="00F82245" w:rsidRPr="00F82245" w:rsidRDefault="00F82245" w:rsidP="00F82245">
      <w:pPr>
        <w:pStyle w:val="CSDAPolicy1"/>
        <w:jc w:val="both"/>
        <w:rPr>
          <w:rFonts w:cs="Arial"/>
          <w:sz w:val="22"/>
          <w:szCs w:val="22"/>
        </w:rPr>
      </w:pPr>
      <w:r w:rsidRPr="00F82245">
        <w:rPr>
          <w:rFonts w:cs="Arial"/>
          <w:sz w:val="22"/>
          <w:szCs w:val="22"/>
          <w:u w:val="single"/>
        </w:rPr>
        <w:t>Late Fees</w:t>
      </w:r>
      <w:r w:rsidRPr="00F82245">
        <w:rPr>
          <w:rFonts w:cs="Arial"/>
          <w:sz w:val="22"/>
          <w:szCs w:val="22"/>
        </w:rPr>
        <w:t xml:space="preserve">:  A </w:t>
      </w:r>
      <w:proofErr w:type="spellStart"/>
      <w:r w:rsidRPr="00F82245">
        <w:rPr>
          <w:rFonts w:cs="Arial"/>
          <w:sz w:val="22"/>
          <w:szCs w:val="22"/>
        </w:rPr>
        <w:t>one time</w:t>
      </w:r>
      <w:proofErr w:type="spellEnd"/>
      <w:r w:rsidRPr="00F82245">
        <w:rPr>
          <w:rFonts w:cs="Arial"/>
          <w:sz w:val="22"/>
          <w:szCs w:val="22"/>
        </w:rPr>
        <w:t xml:space="preserve"> penalty late fee of 10% is added to each quarterly water and sewer service fee that remains unpaid one month after its due date.</w:t>
      </w:r>
    </w:p>
    <w:p w14:paraId="1C34DF0E" w14:textId="77777777" w:rsidR="00F82245" w:rsidRPr="00F82245" w:rsidRDefault="00F82245" w:rsidP="00F82245">
      <w:pPr>
        <w:pStyle w:val="CSDAPolicy1"/>
        <w:jc w:val="both"/>
        <w:rPr>
          <w:rFonts w:cs="Arial"/>
          <w:sz w:val="22"/>
          <w:szCs w:val="22"/>
        </w:rPr>
      </w:pPr>
    </w:p>
    <w:p w14:paraId="335DE2BF" w14:textId="77777777" w:rsidR="00F82245" w:rsidRPr="00F82245" w:rsidRDefault="00F82245" w:rsidP="00F82245">
      <w:pPr>
        <w:pStyle w:val="CSDAPolicy1"/>
        <w:jc w:val="both"/>
        <w:rPr>
          <w:rFonts w:cs="Arial"/>
          <w:sz w:val="22"/>
          <w:szCs w:val="22"/>
        </w:rPr>
      </w:pPr>
      <w:r w:rsidRPr="00F82245">
        <w:rPr>
          <w:rFonts w:cs="Arial"/>
          <w:sz w:val="22"/>
          <w:szCs w:val="22"/>
          <w:u w:val="single"/>
        </w:rPr>
        <w:t>Interest Penalties</w:t>
      </w:r>
      <w:r w:rsidRPr="00F82245">
        <w:rPr>
          <w:rFonts w:cs="Arial"/>
          <w:sz w:val="22"/>
          <w:szCs w:val="22"/>
        </w:rPr>
        <w:t>:  Additionally, on-going monthly interest penalties of 1% per month are added to the previous month's unpaid balance.</w:t>
      </w:r>
    </w:p>
    <w:p w14:paraId="33D077E1" w14:textId="77777777" w:rsidR="00F82245" w:rsidRPr="00F82245" w:rsidRDefault="00F82245" w:rsidP="00F82245">
      <w:pPr>
        <w:pStyle w:val="CSDAPolicy1"/>
        <w:jc w:val="both"/>
        <w:rPr>
          <w:rFonts w:cs="Arial"/>
          <w:sz w:val="22"/>
          <w:szCs w:val="22"/>
        </w:rPr>
      </w:pPr>
    </w:p>
    <w:p w14:paraId="5F93B8F2" w14:textId="77777777" w:rsidR="00F82245" w:rsidRPr="00F82245" w:rsidRDefault="00F82245" w:rsidP="00F82245">
      <w:pPr>
        <w:pStyle w:val="CSDAPolicy1"/>
        <w:jc w:val="both"/>
        <w:rPr>
          <w:rFonts w:cs="Arial"/>
          <w:sz w:val="22"/>
          <w:szCs w:val="22"/>
        </w:rPr>
      </w:pPr>
      <w:r w:rsidRPr="00F82245">
        <w:rPr>
          <w:rFonts w:cs="Arial"/>
          <w:sz w:val="22"/>
          <w:szCs w:val="22"/>
          <w:u w:val="single"/>
        </w:rPr>
        <w:t>Property Liens</w:t>
      </w:r>
      <w:r w:rsidRPr="00F82245">
        <w:rPr>
          <w:rFonts w:cs="Arial"/>
          <w:sz w:val="22"/>
          <w:szCs w:val="22"/>
        </w:rPr>
        <w:t>:  If the delinquency extends beyond six months, the District may begin the lien filing process against the owner's property.  The lien process can be stopped, or if a lien has been filed can be removed, when the property owner pays the entire balance due as well as all direct costs associated with the filing of the lien by the District, including the following:  lien filing service fees, recording fees, attorney fees, advertising expenses, late fees, and interest penalties.</w:t>
      </w:r>
    </w:p>
    <w:p w14:paraId="412AFD52" w14:textId="77777777" w:rsidR="00F82245" w:rsidRPr="00F82245" w:rsidRDefault="00F82245" w:rsidP="00F82245">
      <w:pPr>
        <w:pStyle w:val="CSDAPolicy1"/>
        <w:jc w:val="both"/>
        <w:rPr>
          <w:rFonts w:cs="Arial"/>
          <w:sz w:val="22"/>
          <w:szCs w:val="22"/>
        </w:rPr>
      </w:pPr>
    </w:p>
    <w:p w14:paraId="294511BA" w14:textId="77777777" w:rsidR="00F82245" w:rsidRPr="00F82245" w:rsidRDefault="00F82245" w:rsidP="00F82245">
      <w:pPr>
        <w:pStyle w:val="CSDAPolicy1"/>
        <w:jc w:val="both"/>
        <w:rPr>
          <w:rFonts w:cs="Arial"/>
          <w:sz w:val="22"/>
          <w:szCs w:val="22"/>
        </w:rPr>
      </w:pPr>
      <w:r w:rsidRPr="00F82245">
        <w:rPr>
          <w:rFonts w:cs="Arial"/>
          <w:sz w:val="22"/>
          <w:szCs w:val="22"/>
        </w:rPr>
        <w:t xml:space="preserve">Partial payments will be applied first to the accumulate late fees if any, then to the accumulated interest penalties if any, and last to outstanding water and sewer fees, oldest first. </w:t>
      </w:r>
    </w:p>
    <w:p w14:paraId="59C5C55D" w14:textId="77777777" w:rsidR="00F82245" w:rsidRPr="00F82245" w:rsidRDefault="00F82245" w:rsidP="00F82245">
      <w:pPr>
        <w:pStyle w:val="CSDAPolicy1"/>
        <w:jc w:val="both"/>
        <w:rPr>
          <w:rFonts w:cs="Arial"/>
          <w:sz w:val="22"/>
          <w:szCs w:val="22"/>
        </w:rPr>
      </w:pPr>
    </w:p>
    <w:p w14:paraId="133174DA" w14:textId="77777777" w:rsidR="00F82245" w:rsidRPr="00F82245" w:rsidRDefault="00F82245" w:rsidP="00F82245">
      <w:pPr>
        <w:pStyle w:val="CSDAPolicy1"/>
        <w:jc w:val="both"/>
        <w:rPr>
          <w:rFonts w:cs="Arial"/>
          <w:bCs/>
          <w:sz w:val="22"/>
          <w:szCs w:val="22"/>
        </w:rPr>
      </w:pPr>
      <w:r w:rsidRPr="00F82245">
        <w:rPr>
          <w:rFonts w:cs="Arial"/>
          <w:bCs/>
          <w:sz w:val="22"/>
          <w:szCs w:val="22"/>
        </w:rPr>
        <w:t>All unpaid fees remain with the property despite foreclosure, bankruptcy, and/or any other transfer of ownership. New owners are required to pay any prior delinquencies before a “will serve” letter is issued or services restored for connected properties.</w:t>
      </w:r>
    </w:p>
    <w:p w14:paraId="6B5C9088" w14:textId="77777777" w:rsidR="00F82245" w:rsidRPr="00F82245" w:rsidRDefault="00F82245" w:rsidP="00F82245">
      <w:pPr>
        <w:pStyle w:val="CSDAPolicy1"/>
        <w:jc w:val="both"/>
        <w:rPr>
          <w:rFonts w:cs="Arial"/>
          <w:b/>
          <w:bCs/>
          <w:sz w:val="22"/>
          <w:szCs w:val="22"/>
        </w:rPr>
      </w:pPr>
    </w:p>
    <w:p w14:paraId="59219A3B" w14:textId="77777777" w:rsidR="00F82245" w:rsidRPr="00F82245" w:rsidRDefault="00F82245" w:rsidP="00F82245">
      <w:pPr>
        <w:pStyle w:val="CSDAPolicy1"/>
        <w:jc w:val="both"/>
        <w:rPr>
          <w:rFonts w:cs="Arial"/>
          <w:sz w:val="22"/>
          <w:szCs w:val="22"/>
        </w:rPr>
      </w:pPr>
      <w:r w:rsidRPr="00F82245">
        <w:rPr>
          <w:rFonts w:cs="Arial"/>
          <w:sz w:val="22"/>
          <w:szCs w:val="22"/>
          <w:u w:val="single"/>
        </w:rPr>
        <w:t>Timeline Procedures for Action on Delinquencies</w:t>
      </w:r>
      <w:r w:rsidRPr="00F82245">
        <w:rPr>
          <w:rFonts w:cs="Arial"/>
          <w:sz w:val="22"/>
          <w:szCs w:val="22"/>
        </w:rPr>
        <w:t>:</w:t>
      </w:r>
    </w:p>
    <w:p w14:paraId="7926A7C4" w14:textId="77777777" w:rsidR="00F82245" w:rsidRPr="00F82245" w:rsidRDefault="00F82245" w:rsidP="00F82245">
      <w:pPr>
        <w:pStyle w:val="CSDAPolicy1"/>
        <w:jc w:val="both"/>
        <w:rPr>
          <w:rFonts w:cs="Arial"/>
          <w:sz w:val="22"/>
          <w:szCs w:val="22"/>
        </w:rPr>
      </w:pPr>
    </w:p>
    <w:p w14:paraId="5AFEFE57" w14:textId="77777777" w:rsidR="00F82245" w:rsidRPr="00F82245" w:rsidRDefault="00F82245" w:rsidP="00F82245">
      <w:pPr>
        <w:pStyle w:val="CSDAPolicy1"/>
        <w:tabs>
          <w:tab w:val="clear" w:pos="0"/>
          <w:tab w:val="left" w:pos="540"/>
        </w:tabs>
        <w:ind w:left="540"/>
        <w:jc w:val="both"/>
        <w:rPr>
          <w:rFonts w:cs="Arial"/>
          <w:sz w:val="22"/>
          <w:szCs w:val="22"/>
        </w:rPr>
      </w:pPr>
      <w:r w:rsidRPr="00F82245">
        <w:rPr>
          <w:rFonts w:cs="Arial"/>
          <w:sz w:val="22"/>
          <w:szCs w:val="22"/>
          <w:u w:val="single"/>
        </w:rPr>
        <w:t>One month past due</w:t>
      </w:r>
      <w:r w:rsidRPr="00F82245">
        <w:rPr>
          <w:rFonts w:cs="Arial"/>
          <w:sz w:val="22"/>
          <w:szCs w:val="22"/>
        </w:rPr>
        <w:t>:  A late fee of 10% of the amount of the last unpaid quarterly water and sewer fee is added to the account balance.  These charges will appear on the next quarterly statement.</w:t>
      </w:r>
    </w:p>
    <w:p w14:paraId="03703E6E" w14:textId="77777777" w:rsidR="00F82245" w:rsidRPr="00F82245" w:rsidRDefault="00F82245" w:rsidP="00F82245">
      <w:pPr>
        <w:pStyle w:val="CSDAPolicy1"/>
        <w:tabs>
          <w:tab w:val="left" w:pos="540"/>
        </w:tabs>
        <w:ind w:left="540"/>
        <w:jc w:val="both"/>
        <w:rPr>
          <w:rFonts w:cs="Arial"/>
          <w:sz w:val="22"/>
          <w:szCs w:val="22"/>
        </w:rPr>
      </w:pPr>
    </w:p>
    <w:p w14:paraId="0417A7E1" w14:textId="77777777" w:rsidR="00F82245" w:rsidRPr="00F82245" w:rsidRDefault="00F82245" w:rsidP="00F82245">
      <w:pPr>
        <w:pStyle w:val="CSDAPolicy1"/>
        <w:tabs>
          <w:tab w:val="left" w:pos="540"/>
        </w:tabs>
        <w:ind w:left="540"/>
        <w:jc w:val="both"/>
        <w:rPr>
          <w:rFonts w:cs="Arial"/>
          <w:sz w:val="22"/>
          <w:szCs w:val="22"/>
        </w:rPr>
      </w:pPr>
      <w:r w:rsidRPr="00F82245">
        <w:rPr>
          <w:rFonts w:cs="Arial"/>
          <w:sz w:val="22"/>
          <w:szCs w:val="22"/>
          <w:u w:val="single"/>
        </w:rPr>
        <w:t>One month past due and each month thereafter until paid in full</w:t>
      </w:r>
      <w:r w:rsidRPr="00F82245">
        <w:rPr>
          <w:rFonts w:cs="Arial"/>
          <w:sz w:val="22"/>
          <w:szCs w:val="22"/>
        </w:rPr>
        <w:t>:  An interest fee of 1% of the previous unpaid balance is added to the account balance.  These charges will appear on the next quarterly statement.</w:t>
      </w:r>
    </w:p>
    <w:p w14:paraId="1A9012C5" w14:textId="77777777" w:rsidR="00F82245" w:rsidRPr="00F82245" w:rsidRDefault="00F82245" w:rsidP="00F82245">
      <w:pPr>
        <w:pStyle w:val="CSDAPolicy1"/>
        <w:tabs>
          <w:tab w:val="left" w:pos="540"/>
        </w:tabs>
        <w:ind w:left="540"/>
        <w:jc w:val="both"/>
        <w:rPr>
          <w:rFonts w:cs="Arial"/>
          <w:sz w:val="22"/>
          <w:szCs w:val="22"/>
        </w:rPr>
      </w:pPr>
    </w:p>
    <w:p w14:paraId="242CD39A" w14:textId="77777777" w:rsidR="00F82245" w:rsidRPr="00F82245" w:rsidRDefault="00F82245" w:rsidP="00F82245">
      <w:pPr>
        <w:pStyle w:val="CSDAPolicy1"/>
        <w:tabs>
          <w:tab w:val="left" w:pos="540"/>
        </w:tabs>
        <w:ind w:left="540"/>
        <w:jc w:val="both"/>
        <w:rPr>
          <w:rFonts w:cs="Arial"/>
          <w:sz w:val="22"/>
          <w:szCs w:val="22"/>
        </w:rPr>
      </w:pPr>
      <w:r w:rsidRPr="00F82245">
        <w:rPr>
          <w:rFonts w:cs="Arial"/>
          <w:sz w:val="22"/>
          <w:szCs w:val="22"/>
          <w:u w:val="single"/>
        </w:rPr>
        <w:t>After 6 months in arrears</w:t>
      </w:r>
      <w:r w:rsidRPr="00F82245">
        <w:rPr>
          <w:rFonts w:cs="Arial"/>
          <w:sz w:val="22"/>
          <w:szCs w:val="22"/>
        </w:rPr>
        <w:t xml:space="preserve">:  The property owner is notified by U.S. postal service certified mail, return receipt, that the account is 6 months past due and notified of the amount of their account balance.  The property owner is provided 15 days from the receipt of the certified letter to contact the District and arrange full payment or to appear at a public hearing to be set at a date at least 15 days from the date of the mailing of the letter.  If payment is not received or the District is not satisfied at public hearing, the District will begin the process of filing a lien against the property. </w:t>
      </w:r>
    </w:p>
    <w:p w14:paraId="66BE9216" w14:textId="77777777" w:rsidR="00F82245" w:rsidRPr="00F82245" w:rsidRDefault="00F82245" w:rsidP="00F82245">
      <w:pPr>
        <w:pStyle w:val="CSDAPolicy1"/>
        <w:tabs>
          <w:tab w:val="left" w:pos="540"/>
        </w:tabs>
        <w:ind w:left="540"/>
        <w:jc w:val="both"/>
        <w:rPr>
          <w:rFonts w:cs="Arial"/>
          <w:sz w:val="22"/>
          <w:szCs w:val="22"/>
        </w:rPr>
      </w:pPr>
    </w:p>
    <w:p w14:paraId="37F73959" w14:textId="77777777" w:rsidR="00F82245" w:rsidRPr="00F82245" w:rsidRDefault="00F82245" w:rsidP="00F82245">
      <w:pPr>
        <w:pStyle w:val="CSDAPolicy1"/>
        <w:tabs>
          <w:tab w:val="left" w:pos="540"/>
        </w:tabs>
        <w:ind w:left="540"/>
        <w:jc w:val="both"/>
        <w:rPr>
          <w:rFonts w:cs="Arial"/>
          <w:sz w:val="22"/>
          <w:szCs w:val="22"/>
        </w:rPr>
      </w:pPr>
      <w:r w:rsidRPr="00F82245">
        <w:rPr>
          <w:rFonts w:cs="Arial"/>
          <w:sz w:val="22"/>
          <w:szCs w:val="22"/>
          <w:u w:val="single"/>
        </w:rPr>
        <w:t>After 6 months in arrears</w:t>
      </w:r>
      <w:r w:rsidRPr="00F82245">
        <w:rPr>
          <w:rFonts w:cs="Arial"/>
          <w:sz w:val="22"/>
          <w:szCs w:val="22"/>
        </w:rPr>
        <w:t xml:space="preserve">:  Water service may be shut off to connected property owners.  Service will be re-established after all outstanding water and sewer fees, late fees, interest penalties, service interruption and/or reconnection fees, and all other fees and expenses described above have been paid.  </w:t>
      </w:r>
    </w:p>
    <w:p w14:paraId="225FDFA1" w14:textId="77777777" w:rsidR="00F82245" w:rsidRPr="00F82245" w:rsidRDefault="00F82245" w:rsidP="00F82245">
      <w:pPr>
        <w:pStyle w:val="CSDAPolicy1"/>
        <w:tabs>
          <w:tab w:val="left" w:pos="540"/>
        </w:tabs>
        <w:ind w:left="540"/>
        <w:jc w:val="both"/>
        <w:rPr>
          <w:rFonts w:cs="Arial"/>
          <w:sz w:val="22"/>
          <w:szCs w:val="22"/>
        </w:rPr>
      </w:pPr>
    </w:p>
    <w:p w14:paraId="5312E43A" w14:textId="77777777" w:rsidR="00F82245" w:rsidRPr="00F82245" w:rsidRDefault="00F82245" w:rsidP="00F82245">
      <w:pPr>
        <w:pStyle w:val="CSDAPolicy1"/>
        <w:tabs>
          <w:tab w:val="left" w:pos="540"/>
        </w:tabs>
        <w:ind w:left="540"/>
        <w:jc w:val="both"/>
        <w:rPr>
          <w:sz w:val="22"/>
          <w:szCs w:val="22"/>
        </w:rPr>
      </w:pPr>
      <w:r w:rsidRPr="00F82245">
        <w:rPr>
          <w:rFonts w:cs="Arial"/>
          <w:sz w:val="22"/>
          <w:szCs w:val="22"/>
          <w:u w:val="single"/>
        </w:rPr>
        <w:t>Standby Customers in arrears</w:t>
      </w:r>
      <w:r w:rsidRPr="00F82245">
        <w:rPr>
          <w:rFonts w:cs="Arial"/>
          <w:sz w:val="22"/>
          <w:szCs w:val="22"/>
        </w:rPr>
        <w:t>:  In addition to the fees and procedures described above, the District will not issue a 'Will Serve' letter to any standby property owners who are in arrears until all outstanding fees have been paid.  Owners may not comm</w:t>
      </w:r>
      <w:r w:rsidRPr="00F82245">
        <w:rPr>
          <w:sz w:val="22"/>
          <w:szCs w:val="22"/>
        </w:rPr>
        <w:t xml:space="preserve">ence construction without a 'Will Serve' letter.  </w:t>
      </w:r>
    </w:p>
    <w:p w14:paraId="16CA5C84" w14:textId="77777777" w:rsidR="003A28F5" w:rsidRPr="00F82245" w:rsidRDefault="003A28F5">
      <w:pPr>
        <w:rPr>
          <w:rFonts w:ascii="Arial Narrow" w:hAnsi="Arial Narrow"/>
        </w:rPr>
      </w:pPr>
    </w:p>
    <w:sectPr w:rsidR="003A28F5" w:rsidRPr="00F82245" w:rsidSect="00662AF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19"/>
    <w:rsid w:val="00161245"/>
    <w:rsid w:val="00174C19"/>
    <w:rsid w:val="001C61ED"/>
    <w:rsid w:val="00342AF4"/>
    <w:rsid w:val="00376954"/>
    <w:rsid w:val="003A28F5"/>
    <w:rsid w:val="00455DE7"/>
    <w:rsid w:val="00471607"/>
    <w:rsid w:val="00574B74"/>
    <w:rsid w:val="00662AF5"/>
    <w:rsid w:val="006B3D65"/>
    <w:rsid w:val="007031C1"/>
    <w:rsid w:val="00723351"/>
    <w:rsid w:val="008D653B"/>
    <w:rsid w:val="00DA1114"/>
    <w:rsid w:val="00F82245"/>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A51"/>
  <w15:docId w15:val="{4226DE04-BF8E-40C7-88E8-F06DFF13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653B"/>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customStyle="1" w:styleId="CSDAPolicy1">
    <w:name w:val="CSDA Policy 1"/>
    <w:basedOn w:val="Normal"/>
    <w:rsid w:val="00F82245"/>
    <w:pPr>
      <w:tabs>
        <w:tab w:val="left" w:pos="-1440"/>
        <w:tab w:val="left" w:pos="-720"/>
        <w:tab w:val="left" w:pos="0"/>
        <w:tab w:val="left" w:pos="810"/>
        <w:tab w:val="left" w:pos="1800"/>
        <w:tab w:val="left" w:pos="2160"/>
        <w:tab w:val="left" w:pos="2880"/>
        <w:tab w:val="left" w:pos="3600"/>
        <w:tab w:val="left" w:pos="4320"/>
        <w:tab w:val="left" w:pos="5040"/>
        <w:tab w:val="left" w:pos="5760"/>
      </w:tabs>
      <w:spacing w:after="0" w:line="240" w:lineRule="auto"/>
    </w:pPr>
    <w:rPr>
      <w:rFonts w:ascii="Arial Narrow" w:eastAsia="Times New Roman" w:hAnsi="Arial Narrow" w:cs="Times New Roman"/>
      <w:spacing w:val="-5"/>
      <w:sz w:val="24"/>
      <w:szCs w:val="20"/>
    </w:rPr>
  </w:style>
  <w:style w:type="paragraph" w:styleId="NoSpacing">
    <w:name w:val="No Spacing"/>
    <w:uiPriority w:val="1"/>
    <w:qFormat/>
    <w:rsid w:val="00F82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0112">
      <w:bodyDiv w:val="1"/>
      <w:marLeft w:val="0"/>
      <w:marRight w:val="0"/>
      <w:marTop w:val="0"/>
      <w:marBottom w:val="0"/>
      <w:divBdr>
        <w:top w:val="none" w:sz="0" w:space="0" w:color="auto"/>
        <w:left w:val="none" w:sz="0" w:space="0" w:color="auto"/>
        <w:bottom w:val="none" w:sz="0" w:space="0" w:color="auto"/>
        <w:right w:val="none" w:sz="0" w:space="0" w:color="auto"/>
      </w:divBdr>
    </w:div>
    <w:div w:id="21199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GMCSD1</dc:creator>
  <cp:lastModifiedBy>Tiana Bradley</cp:lastModifiedBy>
  <cp:revision>2</cp:revision>
  <cp:lastPrinted>2019-05-02T02:41:00Z</cp:lastPrinted>
  <dcterms:created xsi:type="dcterms:W3CDTF">2020-07-14T02:08:00Z</dcterms:created>
  <dcterms:modified xsi:type="dcterms:W3CDTF">2020-07-14T02:08:00Z</dcterms:modified>
</cp:coreProperties>
</file>